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FE641" w14:textId="77777777" w:rsidR="001E162D" w:rsidRDefault="00286AE2">
      <w:pPr>
        <w:pStyle w:val="Title"/>
        <w:spacing w:line="252" w:lineRule="auto"/>
        <w:jc w:val="center"/>
      </w:pPr>
      <w:r>
        <w:t>York MNP - General Practice Safeguards and Governance Considerations</w:t>
      </w:r>
    </w:p>
    <w:p w14:paraId="0EC115DF" w14:textId="77777777" w:rsidR="001E162D" w:rsidRDefault="00286AE2">
      <w:pPr>
        <w:spacing w:line="252" w:lineRule="auto"/>
        <w:jc w:val="center"/>
      </w:pPr>
      <w:r>
        <w:t>Provider-neutral considerations for Humber and North Yorkshire ICB and local system partners</w:t>
      </w:r>
    </w:p>
    <w:p w14:paraId="2070BFB7" w14:textId="77777777" w:rsidR="001E162D" w:rsidRDefault="00286AE2">
      <w:pPr>
        <w:spacing w:line="252" w:lineRule="auto"/>
      </w:pPr>
      <w:r>
        <w:rPr>
          <w:b/>
        </w:rPr>
        <w:t>Purpose.</w:t>
      </w:r>
      <w:r>
        <w:t xml:space="preserve"> The development of Multi-Neighbourhood Provider (MNP) arrangements provides an important opportunity to strengthen neighbourhood working in York. This paper sets out safeguards that we believe should inform any future local MNP model. It is deliberately provider-neutral and should apply whoever is commissioned, designated or contracted to undertake the MNP role, regardless of the organisation's ownership, legal form or current leadership. It is not intended to comment on the suitability of any particular p</w:t>
      </w:r>
      <w:r>
        <w:t>rovider.</w:t>
      </w:r>
    </w:p>
    <w:p w14:paraId="20778FB2" w14:textId="77777777" w:rsidR="001E162D" w:rsidRDefault="00286AE2">
      <w:r>
        <w:rPr>
          <w:b/>
        </w:rPr>
        <w:t>Why this matters to the ICB.</w:t>
      </w:r>
      <w:r>
        <w:t xml:space="preserve"> An MNP could in future hold significant contracts, coordinate services, influence pathway design, receive and distribute NHS funding, employ or coordinate workforce and determine where some services are delivered. The safeguards therefore need to be built into commissioning, contractual and governance arrangements at the outset, rather than relying solely on relationships, goodwill or the intentions of current leaders.</w:t>
      </w:r>
    </w:p>
    <w:p w14:paraId="25D06CB1" w14:textId="77777777" w:rsidR="001E162D" w:rsidRDefault="00286AE2">
      <w:pPr>
        <w:spacing w:line="252" w:lineRule="auto"/>
      </w:pPr>
      <w:r>
        <w:rPr>
          <w:b/>
        </w:rPr>
        <w:t>Overall principle.</w:t>
      </w:r>
      <w:r>
        <w:t xml:space="preserve"> The MNP should exist to strengthen general practice and neighbourhood working, not to replace them. Individual practices should remain at the heart of patient care; PCNs should provide neighbourhood leadership and delivery; and the MNP should provide coordination, shared infrastructure and services at scale only where wider scale demonstrably adds value.</w:t>
      </w:r>
    </w:p>
    <w:p w14:paraId="47E691A6" w14:textId="77777777" w:rsidR="001E162D" w:rsidRDefault="00286AE2">
      <w:pPr>
        <w:pStyle w:val="Heading1"/>
        <w:spacing w:before="180" w:after="80" w:line="252" w:lineRule="auto"/>
      </w:pPr>
      <w:r>
        <w:t>1. Overarching principle protecting general practice</w:t>
      </w:r>
    </w:p>
    <w:p w14:paraId="736E74DA" w14:textId="77777777" w:rsidR="001E162D" w:rsidRDefault="00286AE2">
      <w:pPr>
        <w:spacing w:after="100" w:line="252" w:lineRule="auto"/>
      </w:pPr>
      <w:r>
        <w:t>The development of an MNP should strengthen the sustainability of general practice. It should not result in the unnecessary transfer of activity, workforce or funding away from practices and PCNs where these services are being delivered effectively locally.</w:t>
      </w:r>
    </w:p>
    <w:p w14:paraId="6F85D072" w14:textId="77777777" w:rsidR="001E162D" w:rsidRDefault="00286AE2">
      <w:pPr>
        <w:spacing w:after="100" w:line="252" w:lineRule="auto"/>
      </w:pPr>
      <w:r>
        <w:t>Success should be measured by stronger and more sustainable general practice, improved patient care and better integration - not simply by growth in the size or direct delivery footprint of the MNP.</w:t>
      </w:r>
    </w:p>
    <w:p w14:paraId="7B9A8BFD" w14:textId="77777777" w:rsidR="001E162D" w:rsidRDefault="00286AE2">
      <w:pPr>
        <w:pStyle w:val="Heading1"/>
        <w:spacing w:before="180" w:after="80" w:line="252" w:lineRule="auto"/>
      </w:pPr>
      <w:r>
        <w:t>2. Explicit protection of existing practice income</w:t>
      </w:r>
    </w:p>
    <w:p w14:paraId="72F95C5F" w14:textId="77777777" w:rsidR="001E162D" w:rsidRDefault="00286AE2">
      <w:pPr>
        <w:spacing w:after="100" w:line="252" w:lineRule="auto"/>
      </w:pPr>
      <w:r>
        <w:t>Existing practice income streams should be protected, including GMS/PMS/APMS income, locally commissioned and enhanced services, PCN funding, ARRS funding and other primary care income.</w:t>
      </w:r>
    </w:p>
    <w:p w14:paraId="6359A544" w14:textId="77777777" w:rsidR="001E162D" w:rsidRDefault="00286AE2">
      <w:pPr>
        <w:spacing w:after="100" w:line="252" w:lineRule="auto"/>
      </w:pPr>
      <w:r>
        <w:t>Any proposal to move funding or activity into an MNP-held contract should include a clear rationale, financial impact assessment and meaningful involvement of affected practices before a decision is made.</w:t>
      </w:r>
    </w:p>
    <w:p w14:paraId="01260C2E" w14:textId="77777777" w:rsidR="001E162D" w:rsidRDefault="00286AE2">
      <w:pPr>
        <w:pStyle w:val="Heading1"/>
        <w:spacing w:before="180" w:after="80" w:line="252" w:lineRule="auto"/>
      </w:pPr>
      <w:r>
        <w:t>3. Clear principle on where services should be delivered</w:t>
      </w:r>
    </w:p>
    <w:p w14:paraId="2BADF876" w14:textId="77777777" w:rsidR="001E162D" w:rsidRDefault="00286AE2">
      <w:pPr>
        <w:spacing w:after="100" w:line="252" w:lineRule="auto"/>
      </w:pPr>
      <w:r>
        <w:t>The default delivery hierarchy should be: practice delivery where this works well; PCN/neighbourhood delivery where this adds value; and MNP delivery where wider scale demonstrably adds further value.</w:t>
      </w:r>
    </w:p>
    <w:p w14:paraId="4C217FBD" w14:textId="77777777" w:rsidR="001E162D" w:rsidRDefault="00286AE2">
      <w:pPr>
        <w:spacing w:after="100" w:line="252" w:lineRule="auto"/>
      </w:pPr>
      <w:r>
        <w:t>Larger practices and established PCNs may already have sufficient scale, workforce, infrastructure and clinical leadership to deliver effectively. Services should not be centralised merely because centralisation is possible.</w:t>
      </w:r>
    </w:p>
    <w:p w14:paraId="3C2E55D5" w14:textId="77777777" w:rsidR="001E162D" w:rsidRDefault="00286AE2">
      <w:pPr>
        <w:pStyle w:val="Heading1"/>
        <w:spacing w:before="180" w:after="80" w:line="252" w:lineRule="auto"/>
      </w:pPr>
      <w:r>
        <w:t>4. Protection from inappropriate competition by the MNP</w:t>
      </w:r>
    </w:p>
    <w:p w14:paraId="589F9835" w14:textId="77777777" w:rsidR="001E162D" w:rsidRDefault="00286AE2">
      <w:pPr>
        <w:spacing w:after="100" w:line="252" w:lineRule="auto"/>
      </w:pPr>
      <w:r>
        <w:t>The MNP should not unnecessarily compete with local practices and PCNs for services that those organisations can deliver effectively.</w:t>
      </w:r>
    </w:p>
    <w:p w14:paraId="7D9EFC32" w14:textId="77777777" w:rsidR="001E162D" w:rsidRDefault="00286AE2">
      <w:pPr>
        <w:spacing w:after="100" w:line="252" w:lineRule="auto"/>
      </w:pPr>
      <w:r>
        <w:lastRenderedPageBreak/>
        <w:t>Where the MNP may hold a contract, influence pathway design and potentially provide the service itself, transparent governance should determine whether delivery is best undertaken by practices, PCNs, the MNP provider or another system partner. Where the MNP is also a potential provider, commissioning and provider-selection decisions should be demonstrably impartial.</w:t>
      </w:r>
    </w:p>
    <w:p w14:paraId="573E0D4A" w14:textId="77777777" w:rsidR="001E162D" w:rsidRDefault="00286AE2">
      <w:pPr>
        <w:pStyle w:val="Heading1"/>
        <w:spacing w:before="180" w:after="80" w:line="252" w:lineRule="auto"/>
      </w:pPr>
      <w:r>
        <w:t>5. Transparent financial arrangements</w:t>
      </w:r>
    </w:p>
    <w:p w14:paraId="0290A4EE" w14:textId="77777777" w:rsidR="001E162D" w:rsidRDefault="00286AE2">
      <w:pPr>
        <w:spacing w:after="100" w:line="252" w:lineRule="auto"/>
      </w:pPr>
      <w:r>
        <w:t>Financial arrangements should be transparent and, where practical, open-book. Practices and PCNs should be able to understand total MNP funding, individual service/pathway funding, management and infrastructure costs, any top-slice, subcontracted funding, financial and contractual risk, and the treatment of surpluses or deficits.</w:t>
      </w:r>
    </w:p>
    <w:p w14:paraId="0213F829" w14:textId="77777777" w:rsidR="001E162D" w:rsidRDefault="00286AE2">
      <w:pPr>
        <w:spacing w:after="100" w:line="252" w:lineRule="auto"/>
      </w:pPr>
      <w:r>
        <w:t>Management and infrastructure costs should be proportionate and capable of demonstrating value to local practices, PCNs, patients and the wider system.</w:t>
      </w:r>
    </w:p>
    <w:p w14:paraId="5323EB20" w14:textId="77777777" w:rsidR="001E162D" w:rsidRDefault="00286AE2">
      <w:pPr>
        <w:pStyle w:val="Heading1"/>
        <w:spacing w:before="180" w:after="80" w:line="252" w:lineRule="auto"/>
      </w:pPr>
      <w:r>
        <w:t>6. Formal practice role in decisions affecting income or workload</w:t>
      </w:r>
    </w:p>
    <w:p w14:paraId="24001E3D" w14:textId="77777777" w:rsidR="001E162D" w:rsidRDefault="00286AE2">
      <w:pPr>
        <w:spacing w:after="100" w:line="252" w:lineRule="auto"/>
      </w:pPr>
      <w:r>
        <w:t>Where an MNP decision could materially affect a practice's income, workload, workforce, service delivery, contractual responsibilities or locally commissioned activity, the affected practice should have a meaningful role in the decision. The ICB should ensure that this principle is reflected in the MNP contract and governance arrangements.</w:t>
      </w:r>
    </w:p>
    <w:p w14:paraId="3394C069" w14:textId="77777777" w:rsidR="001E162D" w:rsidRDefault="00286AE2">
      <w:pPr>
        <w:spacing w:after="100" w:line="252" w:lineRule="auto"/>
      </w:pPr>
      <w:r>
        <w:t>Consultation after a decision has effectively been made should not be regarded as sufficient engagement.</w:t>
      </w:r>
    </w:p>
    <w:p w14:paraId="6CA64319" w14:textId="77777777" w:rsidR="001E162D" w:rsidRDefault="00286AE2">
      <w:pPr>
        <w:pStyle w:val="Heading1"/>
        <w:spacing w:before="180" w:after="80" w:line="252" w:lineRule="auto"/>
      </w:pPr>
      <w:r>
        <w:t>7. Protection of practice autonomy</w:t>
      </w:r>
    </w:p>
    <w:p w14:paraId="416916CF" w14:textId="77777777" w:rsidR="001E162D" w:rsidRDefault="00286AE2">
      <w:pPr>
        <w:spacing w:after="100" w:line="252" w:lineRule="auto"/>
      </w:pPr>
      <w:r>
        <w:t>Collaboration through an MNP should not create an ability to direct the internal operation of individual practices beyond the requirements of their underlying NHS contracts and any arrangements to which they have expressly agreed.</w:t>
      </w:r>
    </w:p>
    <w:p w14:paraId="779CDF6F" w14:textId="77777777" w:rsidR="001E162D" w:rsidRDefault="00286AE2">
      <w:pPr>
        <w:spacing w:after="100" w:line="252" w:lineRule="auto"/>
      </w:pPr>
      <w:r>
        <w:t>Practices should retain responsibility for their core contractual services, workforce and registered populations.</w:t>
      </w:r>
    </w:p>
    <w:p w14:paraId="5834962A" w14:textId="77777777" w:rsidR="001E162D" w:rsidRDefault="00286AE2">
      <w:pPr>
        <w:pStyle w:val="Heading1"/>
        <w:spacing w:before="180" w:after="80" w:line="252" w:lineRule="auto"/>
      </w:pPr>
      <w:r>
        <w:t>8. Clear arrangements for participation in MNP-commissioned services</w:t>
      </w:r>
    </w:p>
    <w:p w14:paraId="7471B860" w14:textId="77777777" w:rsidR="001E162D" w:rsidRDefault="00286AE2">
      <w:pPr>
        <w:spacing w:after="100" w:line="252" w:lineRule="auto"/>
      </w:pPr>
      <w:r>
        <w:t>For services commissioned or coordinated through the MNP, arrangements should clearly state whether practice or PCN participation is voluntary or contractual/subcontractual; what responsibilities and funding apply; what happens if a practice or PCN is unable or unwilling to provide the service locally; how coverage will be maintained; and what consequential workload is created.</w:t>
      </w:r>
    </w:p>
    <w:p w14:paraId="49BB2306" w14:textId="77777777" w:rsidR="001E162D" w:rsidRDefault="00286AE2">
      <w:pPr>
        <w:spacing w:after="100" w:line="252" w:lineRule="auto"/>
      </w:pPr>
      <w:r>
        <w:t>No new service should result in unfunded obligations being passed to practices or PCNs. Delivery expectations and resources should be agreed before implementation.</w:t>
      </w:r>
    </w:p>
    <w:p w14:paraId="2B3B899A" w14:textId="77777777" w:rsidR="001E162D" w:rsidRDefault="00286AE2">
      <w:pPr>
        <w:pStyle w:val="Heading1"/>
        <w:spacing w:before="180" w:after="80" w:line="252" w:lineRule="auto"/>
      </w:pPr>
      <w:r>
        <w:t>9. PCN-led coordination of geographical neighbourhoods rather than multiple practice leads</w:t>
      </w:r>
    </w:p>
    <w:p w14:paraId="261AAC6B" w14:textId="77777777" w:rsidR="001E162D" w:rsidRDefault="00286AE2">
      <w:pPr>
        <w:spacing w:after="100" w:line="252" w:lineRule="auto"/>
      </w:pPr>
      <w:r>
        <w:t>York has five geographical neighbourhoods but six PCNs, and registered populations do not map neatly to geographical boundaries. A single practice may have patients living across several neighbourhoods, while each neighbourhood will include patients registered with several practices and PCNs.</w:t>
      </w:r>
    </w:p>
    <w:p w14:paraId="685545AF" w14:textId="77777777" w:rsidR="001E162D" w:rsidRDefault="00286AE2">
      <w:pPr>
        <w:spacing w:after="100" w:line="252" w:lineRule="auto"/>
      </w:pPr>
      <w:r>
        <w:t>To avoid unnecessary complexity, duplication and unclear accountability, neighbourhood-level primary care coordination should, wherever practicable, sit with one clearly identified coordinating PCN rather than being divided between several individual practice leads. The coordinating PCN would provide the principal primary care interface for neighbourhood planning and Integrated Neighbourhood Team working, with other relevant practices and PCNs remaining involved.</w:t>
      </w:r>
    </w:p>
    <w:p w14:paraId="2A5F28FC" w14:textId="77777777" w:rsidR="001E162D" w:rsidRDefault="00286AE2">
      <w:pPr>
        <w:spacing w:after="100" w:line="252" w:lineRule="auto"/>
      </w:pPr>
      <w:r>
        <w:lastRenderedPageBreak/>
        <w:t>This would be a coordination and representation role only. It would not make the coordinating PCN clinically or contractually responsible for patients registered elsewhere. Each practice and PCN would retain responsibility for its own registered population, regardless of where those patients live.</w:t>
      </w:r>
    </w:p>
    <w:p w14:paraId="1FB4204B" w14:textId="77777777" w:rsidR="001E162D" w:rsidRDefault="00286AE2">
      <w:pPr>
        <w:spacing w:after="100" w:line="252" w:lineRule="auto"/>
      </w:pPr>
      <w:r>
        <w:t>The principle should therefore be: geography determines coordination; registration determines patient responsibility. A clear interface would be: individual practices and PCNs -&gt; coordinating PCN for the geographical neighbourhood -&gt; MNP -&gt; wider system. This avoids a model in which several individual practices are separately expected to coordinate the same geographical neighbourhood.</w:t>
      </w:r>
    </w:p>
    <w:p w14:paraId="5C47A16E" w14:textId="77777777" w:rsidR="001E162D" w:rsidRDefault="00286AE2">
      <w:pPr>
        <w:pStyle w:val="Heading1"/>
        <w:spacing w:before="180" w:after="80" w:line="252" w:lineRule="auto"/>
      </w:pPr>
      <w:r>
        <w:t>10. Protect and support existing PCNs</w:t>
      </w:r>
    </w:p>
    <w:p w14:paraId="4308DE0A" w14:textId="77777777" w:rsidR="001E162D" w:rsidRDefault="00286AE2">
      <w:pPr>
        <w:spacing w:after="100" w:line="252" w:lineRule="auto"/>
      </w:pPr>
      <w:r>
        <w:t>Existing PCNs should remain an important layer beneath the MNP and should not be weakened, bypassed or duplicated without an agreed and demonstrable benefit.</w:t>
      </w:r>
    </w:p>
    <w:p w14:paraId="463B00BF" w14:textId="77777777" w:rsidR="001E162D" w:rsidRDefault="00286AE2">
      <w:pPr>
        <w:spacing w:after="100" w:line="252" w:lineRule="auto"/>
      </w:pPr>
      <w:r>
        <w:t>PCN workforce, ARRS arrangements, management infrastructure, clinical leadership and established relationships should be protected unless the relevant PCNs agree a change is beneficial.</w:t>
      </w:r>
    </w:p>
    <w:p w14:paraId="6098746E" w14:textId="77777777" w:rsidR="001E162D" w:rsidRDefault="00286AE2">
      <w:pPr>
        <w:pStyle w:val="Heading1"/>
        <w:spacing w:before="180" w:after="80" w:line="252" w:lineRule="auto"/>
      </w:pPr>
      <w:r>
        <w:t>11. Workforce safeguards and preservation of cohesive teams</w:t>
      </w:r>
    </w:p>
    <w:p w14:paraId="53B78005" w14:textId="77777777" w:rsidR="001E162D" w:rsidRDefault="00286AE2">
      <w:pPr>
        <w:spacing w:after="100" w:line="252" w:lineRule="auto"/>
      </w:pPr>
      <w:r>
        <w:t>Workforce centralisation should not be an objective in itself. Any proposed transfer or central employment arrangement should consider employer responsibility, terms and conditions, pensions, TUPE implications where relevant, supervision, line management, professional accountability and the sustainability of the originating practice or PCN.</w:t>
      </w:r>
    </w:p>
    <w:p w14:paraId="41B71469" w14:textId="77777777" w:rsidR="001E162D" w:rsidRDefault="00286AE2">
      <w:pPr>
        <w:spacing w:after="100" w:line="252" w:lineRule="auto"/>
      </w:pPr>
      <w:r>
        <w:t>The model should seek to preserve cohesive, locally managed multidisciplinary teams. Very large central structures can weaken working relationships, local accountability and team identity. MNP infrastructure should provide resilience and specialist support without unnecessarily breaking up established local teams.</w:t>
      </w:r>
    </w:p>
    <w:p w14:paraId="2796DCC2" w14:textId="77777777" w:rsidR="001E162D" w:rsidRDefault="00286AE2">
      <w:pPr>
        <w:pStyle w:val="Heading1"/>
        <w:spacing w:before="180" w:after="80" w:line="252" w:lineRule="auto"/>
      </w:pPr>
      <w:r>
        <w:t>12. Additionality and supportive shared infrastructure</w:t>
      </w:r>
    </w:p>
    <w:p w14:paraId="619FC56F" w14:textId="77777777" w:rsidR="001E162D" w:rsidRDefault="00286AE2">
      <w:pPr>
        <w:spacing w:after="100" w:line="252" w:lineRule="auto"/>
      </w:pPr>
      <w:r>
        <w:t>There should be a clear distinction between working at scale and centralising delivery at scale.</w:t>
      </w:r>
    </w:p>
    <w:p w14:paraId="49660DB0" w14:textId="77777777" w:rsidR="001E162D" w:rsidRDefault="00286AE2">
      <w:pPr>
        <w:spacing w:after="100" w:line="252" w:lineRule="auto"/>
      </w:pPr>
      <w:r>
        <w:t>The MNP should add capability through shared infrastructure, coordination, resilience, specialist expertise, digital/data support and services where York-wide scale demonstrably improves quality, access or efficiency.</w:t>
      </w:r>
    </w:p>
    <w:p w14:paraId="6B27F506" w14:textId="77777777" w:rsidR="001E162D" w:rsidRDefault="00286AE2">
      <w:pPr>
        <w:spacing w:after="100" w:line="252" w:lineRule="auto"/>
      </w:pPr>
      <w:r>
        <w:t>Shared infrastructure should support practices and PCNs to work at scale rather than create an assumption that services or workforce must be transferred into a central MNP structure. The MNP should be an enabler of at-scale working as well as, where appropriate, a provider at scale.</w:t>
      </w:r>
    </w:p>
    <w:p w14:paraId="76EFCA15" w14:textId="77777777" w:rsidR="001E162D" w:rsidRDefault="00286AE2">
      <w:pPr>
        <w:pStyle w:val="Heading1"/>
        <w:spacing w:before="180" w:after="80" w:line="252" w:lineRule="auto"/>
      </w:pPr>
      <w:r>
        <w:t>13. Protection from unfunded workload transfer</w:t>
      </w:r>
    </w:p>
    <w:p w14:paraId="68287ED6" w14:textId="77777777" w:rsidR="001E162D" w:rsidRDefault="00286AE2">
      <w:pPr>
        <w:spacing w:after="100" w:line="252" w:lineRule="auto"/>
      </w:pPr>
      <w:r>
        <w:t>Any activity transferred from secondary care, community services, mental health services, local authorities or other parts of the system into general practice or neighbourhood teams should be accompanied by appropriate funding, workforce and capacity.</w:t>
      </w:r>
    </w:p>
    <w:p w14:paraId="7496D7A4" w14:textId="77777777" w:rsidR="001E162D" w:rsidRDefault="00286AE2">
      <w:pPr>
        <w:spacing w:after="100" w:line="252" w:lineRule="auto"/>
      </w:pPr>
      <w:r>
        <w:t>The MNP should help protect practices from inappropriate cost-shifting and unfunded workload transfer rather than becoming a mechanism through which it occurs.</w:t>
      </w:r>
    </w:p>
    <w:p w14:paraId="59DBB11A" w14:textId="77777777" w:rsidR="001E162D" w:rsidRDefault="00286AE2">
      <w:pPr>
        <w:pStyle w:val="Heading1"/>
        <w:spacing w:before="180" w:after="80" w:line="252" w:lineRule="auto"/>
      </w:pPr>
      <w:r>
        <w:t>14. Wider neighbourhood services should be considered individually</w:t>
      </w:r>
    </w:p>
    <w:p w14:paraId="5C261C78" w14:textId="77777777" w:rsidR="001E162D" w:rsidRDefault="00286AE2">
      <w:pPr>
        <w:spacing w:after="100" w:line="252" w:lineRule="auto"/>
      </w:pPr>
      <w:r>
        <w:t>A broader range of neighbourhood services may appropriately be coordinated through the MNP, but there should be no presumption that all such services must sit within, or be directly delivered by, the MNP.</w:t>
      </w:r>
    </w:p>
    <w:p w14:paraId="3D1F0242" w14:textId="77777777" w:rsidR="001E162D" w:rsidRDefault="00286AE2">
      <w:pPr>
        <w:spacing w:after="100" w:line="252" w:lineRule="auto"/>
      </w:pPr>
      <w:r>
        <w:t xml:space="preserve">Each service should be assessed against patient benefit, quality and resilience at York scale, effectiveness of existing provision, impact on general practice and PCN sustainability, preservation of local teams, </w:t>
      </w:r>
      <w:r>
        <w:lastRenderedPageBreak/>
        <w:t>workforce implications, financial and contractual risk, value for money and whether integration can be achieved without transferring delivery.</w:t>
      </w:r>
    </w:p>
    <w:p w14:paraId="69A66F92" w14:textId="77777777" w:rsidR="001E162D" w:rsidRDefault="00286AE2">
      <w:pPr>
        <w:spacing w:after="100" w:line="252" w:lineRule="auto"/>
      </w:pPr>
      <w:r>
        <w:t>Scale should be a means to improve care, rather than an objective in itself.</w:t>
      </w:r>
    </w:p>
    <w:p w14:paraId="31132CD3" w14:textId="77777777" w:rsidR="001E162D" w:rsidRDefault="00286AE2">
      <w:pPr>
        <w:pStyle w:val="Heading1"/>
        <w:spacing w:before="180" w:after="80" w:line="252" w:lineRule="auto"/>
      </w:pPr>
      <w:r>
        <w:t>15. Governance, decision rights and equivalent Reserved Matters protections</w:t>
      </w:r>
    </w:p>
    <w:p w14:paraId="47AB6D00" w14:textId="77777777" w:rsidR="001E162D" w:rsidRDefault="00286AE2">
      <w:pPr>
        <w:spacing w:after="100" w:line="252" w:lineRule="auto"/>
      </w:pPr>
      <w:r>
        <w:t>If an organisation assumes an MNP Lead Provider role, its funding, contractual responsibility, workforce, service delivery and financial exposure could expand materially. Governance and contractual protections should therefore evolve alongside the responsibilities delegated to the MNP.</w:t>
      </w:r>
    </w:p>
    <w:p w14:paraId="16816461" w14:textId="77777777" w:rsidR="001E162D" w:rsidRDefault="00286AE2">
      <w:pPr>
        <w:spacing w:after="100" w:line="252" w:lineRule="auto"/>
      </w:pPr>
      <w:r>
        <w:t>Before substantive commitment to a Lead Provider arrangement, the ICB and local general practice should agree the decisions that require explicit practice/PCN involvement, approval or consent. Where the MNP is member/shareholder-owned, this should include review of Articles, Shareholders' Agreements and Reserved Matters. Where it is not member/shareholder-owned, equivalent protections should be embedded in the commissioning contract, service specifications and governance framework.</w:t>
      </w:r>
    </w:p>
    <w:p w14:paraId="7CF4ACBC" w14:textId="77777777" w:rsidR="001E162D" w:rsidRDefault="00286AE2">
      <w:pPr>
        <w:spacing w:after="100" w:line="252" w:lineRule="auto"/>
      </w:pPr>
      <w:r>
        <w:t>Reserved Matters or equivalent contractual protections should cover: material transfer or redistribution of enhanced/local services and income; centralisation or transfer of services currently delivered by practices or PCNs; significant workforce centralisation or transfer; material changes to practice income or activity; material changes to practice/PCN contractual responsibilities; significant MNP contractual commitments, liabilities or financial exposure that could affect local general practice; material</w:t>
      </w:r>
      <w:r>
        <w:t xml:space="preserve"> changes to funding distribution; movement from local practice/PCN delivery to direct MNP delivery; and significant strategic changes arising from the MNP model.</w:t>
      </w:r>
    </w:p>
    <w:p w14:paraId="51939DC9" w14:textId="77777777" w:rsidR="001E162D" w:rsidRDefault="00286AE2">
      <w:pPr>
        <w:spacing w:after="100" w:line="252" w:lineRule="auto"/>
      </w:pPr>
      <w:r>
        <w:t>The recommended sequence is: agree the broad strategic direction; agree the governance, decision rights and protections; test these with affected practices and PCNs; and only then proceed to substantive commissioning or contracting decisions.</w:t>
      </w:r>
    </w:p>
    <w:p w14:paraId="2718FAAB" w14:textId="77777777" w:rsidR="001E162D" w:rsidRDefault="00286AE2">
      <w:pPr>
        <w:pStyle w:val="Heading1"/>
        <w:spacing w:before="180" w:after="80" w:line="252" w:lineRule="auto"/>
      </w:pPr>
      <w:r>
        <w:t>16. Protection for individual practices and definition of what the MNP should not do</w:t>
      </w:r>
    </w:p>
    <w:p w14:paraId="04553303" w14:textId="77777777" w:rsidR="001E162D" w:rsidRDefault="00286AE2">
      <w:pPr>
        <w:spacing w:after="100" w:line="252" w:lineRule="auto"/>
      </w:pPr>
      <w:r>
        <w:t>Governance should distinguish between decisions that can properly be made at system or collective level and decisions that have a material and direct impact on an individual practice.</w:t>
      </w:r>
    </w:p>
    <w:p w14:paraId="5392B91B" w14:textId="77777777" w:rsidR="001E162D" w:rsidRDefault="00286AE2">
      <w:pPr>
        <w:spacing w:after="100" w:line="252" w:lineRule="auto"/>
      </w:pPr>
      <w:r>
        <w:t>A system, MNP board or majority/member decision should not, by itself, be sufficient to materially reduce or redistribute an individual practice's existing income; transfer services or activity currently undertaken by that practice; require transfer or centralisation of its workforce; materially alter its operating model or structure; impose significant additional contractual or financial liabilities; or materially change its contractual responsibilities.</w:t>
      </w:r>
    </w:p>
    <w:p w14:paraId="3ED4116F" w14:textId="77777777" w:rsidR="001E162D" w:rsidRDefault="00286AE2">
      <w:pPr>
        <w:spacing w:after="100" w:line="252" w:lineRule="auto"/>
      </w:pPr>
      <w:r>
        <w:t>Where a decision has a material and direct impact on an individual practice, the specific agreement of the affected practice should be required unless there is a clear statutory or contractual basis for the change and an agreed process for managing the impact.</w:t>
      </w:r>
    </w:p>
    <w:p w14:paraId="68AD93E2" w14:textId="77777777" w:rsidR="001E162D" w:rsidRDefault="00286AE2">
      <w:pPr>
        <w:spacing w:after="100" w:line="252" w:lineRule="auto"/>
      </w:pPr>
      <w:r>
        <w:t>The MNP should not duplicate existing functions unnecessarily, centralise simply because it can, replace effective practice/PCN delivery merely for scale, compete unnecessarily with local practices, remove income without proper engagement and agreement, move workforce without justification, break up effective local teams, create unfunded work, impose unnecessary management/reporting burdens, weaken practice autonomy, or materially change an individual practice without appropriate agreement and due process.</w:t>
      </w:r>
    </w:p>
    <w:p w14:paraId="660F26A8" w14:textId="77777777" w:rsidR="001E162D" w:rsidRDefault="00286AE2">
      <w:pPr>
        <w:pStyle w:val="Heading1"/>
        <w:spacing w:before="180" w:after="80" w:line="252" w:lineRule="auto"/>
      </w:pPr>
      <w:r>
        <w:t>17. Preserve independent practice and PCN forums</w:t>
      </w:r>
    </w:p>
    <w:p w14:paraId="6E4AE7E6" w14:textId="77777777" w:rsidR="001E162D" w:rsidRDefault="00286AE2">
      <w:pPr>
        <w:spacing w:after="100" w:line="252" w:lineRule="auto"/>
      </w:pPr>
      <w:r>
        <w:t>As any MNP potentially takes on a greater coordinating and provider role, practices and PCNs should retain appropriate forums in which they can discuss operational, contractual and strategic matters independently.</w:t>
      </w:r>
    </w:p>
    <w:p w14:paraId="4AAF5FD6" w14:textId="77777777" w:rsidR="001E162D" w:rsidRDefault="00286AE2">
      <w:pPr>
        <w:spacing w:after="100" w:line="252" w:lineRule="auto"/>
      </w:pPr>
      <w:r>
        <w:lastRenderedPageBreak/>
        <w:t>MNP/provider representation should be included where its input is relevant, but this should not automatically mean that MNP/provider representatives are present at every Practice Manager or PCN service-delivery/operational meeting.</w:t>
      </w:r>
    </w:p>
    <w:p w14:paraId="44FC6331" w14:textId="77777777" w:rsidR="001E162D" w:rsidRDefault="00286AE2">
      <w:pPr>
        <w:spacing w:after="100" w:line="252" w:lineRule="auto"/>
      </w:pPr>
      <w:r>
        <w:t>The purpose, membership and governance of these meetings should be clarified, including whether each forum is practice/PCN-led or MNP-led; who chairs and sets the agenda; whether the MNP/provider attends as a standing member or by invitation; how decisions and actions are agreed; and whether practices/PCNs have protected opportunities to meet independently where appropriate.</w:t>
      </w:r>
    </w:p>
    <w:p w14:paraId="21762F76" w14:textId="77777777" w:rsidR="001E162D" w:rsidRDefault="00286AE2">
      <w:pPr>
        <w:spacing w:after="100" w:line="252" w:lineRule="auto"/>
      </w:pPr>
      <w:r>
        <w:t>Principle: Practices and PCNs should retain appropriate independent forums in which they can discuss matters collectively without the MNP/provider organisation automatically being present. Provider involvement should be proportionate to the purpose of the meeting and clearly defined within agreed terms of reference.</w:t>
      </w:r>
    </w:p>
    <w:p w14:paraId="4E07817B" w14:textId="77777777" w:rsidR="001E162D" w:rsidRDefault="00286AE2">
      <w:pPr>
        <w:pStyle w:val="Heading2"/>
      </w:pPr>
      <w:r>
        <w:t>18. Robust management of conflicts of interest and related-party interests</w:t>
      </w:r>
    </w:p>
    <w:p w14:paraId="10FF2DB1" w14:textId="77777777" w:rsidR="001E162D" w:rsidRDefault="00286AE2">
      <w:r>
        <w:t>If the MNP takes on a greater role in allocating NHS funding, designing services, selecting providers or determining where services are delivered, its governance must be capable of identifying and managing actual, potential and perceived conflicts of interest. This is particularly important where decisions concern public money and a decision-maker has a private, commercial, family, professional or ownership interest in an organisation that could benefit.</w:t>
      </w:r>
    </w:p>
    <w:p w14:paraId="2888A942" w14:textId="77777777" w:rsidR="001E162D" w:rsidRDefault="00286AE2">
      <w:r>
        <w:t>Declaration of an interest should be the starting point, not automatically the end of the process. Where a director, officer, member, shareholder representative, commissioner, adviser or other decision-maker has a financial, ownership, family, loyalty or other material interest in an organisation that could benefit from an MNP decision, proportionate safeguards should be applied.</w:t>
      </w:r>
    </w:p>
    <w:p w14:paraId="1DD2072B" w14:textId="77777777" w:rsidR="001E162D" w:rsidRDefault="00286AE2">
      <w:r>
        <w:t>Depending on the nature of the decision, safeguards may include withdrawal from the relevant discussion and decision, restriction of access to commercially sensitive information, separation from specification or business-case development, use of unconflicted expertise and independent oversight. The interest and the action taken to manage it should be clearly recorded.</w:t>
      </w:r>
    </w:p>
    <w:p w14:paraId="1D69CD52" w14:textId="77777777" w:rsidR="001E162D" w:rsidRDefault="00286AE2">
      <w:r>
        <w:t>Principle: Governance should be capable not only of identifying conflicts of interest, but of demonstrating that decisions involving public funds cannot be influenced, or reasonably perceived to have been influenced, by the private, commercial, family or other material interests of those participating in the decision.</w:t>
      </w:r>
    </w:p>
    <w:p w14:paraId="7EF68E50" w14:textId="77777777" w:rsidR="001E162D" w:rsidRDefault="00286AE2">
      <w:pPr>
        <w:pStyle w:val="Heading1"/>
        <w:spacing w:before="180" w:after="80" w:line="252" w:lineRule="auto"/>
      </w:pPr>
      <w:r>
        <w:t>Proposed next steps for local consideration</w:t>
      </w:r>
    </w:p>
    <w:p w14:paraId="53BE96DC" w14:textId="77777777" w:rsidR="001E162D" w:rsidRDefault="00286AE2">
      <w:pPr>
        <w:pStyle w:val="ListBullet"/>
        <w:spacing w:line="252" w:lineRule="auto"/>
      </w:pPr>
      <w:r>
        <w:t>Share these safeguards with practices, PCNs and relevant ICB neighbourhood/primary care leaders so that they can inform local discussions before substantive decisions on MNP structure or provider are made.</w:t>
      </w:r>
    </w:p>
    <w:p w14:paraId="51AE633E" w14:textId="77777777" w:rsidR="001E162D" w:rsidRDefault="00286AE2">
      <w:pPr>
        <w:pStyle w:val="ListBullet"/>
        <w:spacing w:line="252" w:lineRule="auto"/>
      </w:pPr>
      <w:r>
        <w:t>Establish a formal ICB-led process for practice and PCN engagement on MNP design, including how local general practice will be represented in decisions about funding, service transfer, workforce and delivery models.</w:t>
      </w:r>
    </w:p>
    <w:p w14:paraId="2A221BE3" w14:textId="77777777" w:rsidR="001E162D" w:rsidRDefault="00286AE2">
      <w:pPr>
        <w:pStyle w:val="ListBullet"/>
        <w:spacing w:line="252" w:lineRule="auto"/>
      </w:pPr>
      <w:r>
        <w:t>Agree governance, decision rights, conflict-of-interest controls and protections for individual practices before any substantive Lead Provider commitment, procurement, designation or contract award.</w:t>
      </w:r>
    </w:p>
    <w:p w14:paraId="7994AF8C" w14:textId="77777777" w:rsidR="001E162D" w:rsidRDefault="00286AE2">
      <w:pPr>
        <w:pStyle w:val="ListBullet"/>
      </w:pPr>
      <w:r>
        <w:t>Agree a clear coordinating PCN for each geographical neighbourhood, wherever practicable, so neighbourhood-level primary care coordination is not fragmented across multiple individual practices while registered-patient responsibilities remain unchanged.</w:t>
      </w:r>
    </w:p>
    <w:p w14:paraId="581F9720" w14:textId="77777777" w:rsidR="001E162D" w:rsidRDefault="00286AE2">
      <w:pPr>
        <w:pStyle w:val="ListBullet"/>
        <w:spacing w:line="252" w:lineRule="auto"/>
      </w:pPr>
      <w:r>
        <w:t>Agree clear terms of reference for Practice Manager, PCN service-delivery and other relevant forums, including arrangements for independent practice/PCN discussion where appropriate.</w:t>
      </w:r>
    </w:p>
    <w:p w14:paraId="4EF59DD6" w14:textId="77777777" w:rsidR="001E162D" w:rsidRDefault="00286AE2">
      <w:pPr>
        <w:pStyle w:val="ListBullet"/>
        <w:spacing w:line="252" w:lineRule="auto"/>
      </w:pPr>
      <w:r>
        <w:lastRenderedPageBreak/>
        <w:t>Ensure that any future MNP business case demonstrates how the proposed model strengthens rather than displaces existing practice and PCN delivery.</w:t>
      </w:r>
    </w:p>
    <w:p w14:paraId="3FB4F435" w14:textId="77777777" w:rsidR="001E162D" w:rsidRDefault="00286AE2">
      <w:pPr>
        <w:pStyle w:val="ListBullet"/>
      </w:pPr>
      <w:r>
        <w:t>Ensure conflicts-of-interest arrangements require proportionate management action, including recusal, separation of functions or independent oversight where a decision could benefit an organisation in which a decision-maker has a material interest.</w:t>
      </w:r>
    </w:p>
    <w:p w14:paraId="1C096A73" w14:textId="77777777" w:rsidR="001E162D" w:rsidRDefault="00286AE2">
      <w:pPr>
        <w:spacing w:line="252" w:lineRule="auto"/>
      </w:pPr>
      <w:r>
        <w:rPr>
          <w:b/>
        </w:rPr>
        <w:t>Summary position.</w:t>
      </w:r>
      <w:r>
        <w:t xml:space="preserve"> A York MNP could provide genuine benefits if it coordinates, supports and adds capability to existing general practice and PCNs. These safeguards are intended to protect practices, patients and public funds regardless of which organisation holds the MNP role or who leads it in future. The model should protect local delivery and autonomy, preserve an independent practice/PCN voice, provide transparent stewardship of public funding and incorporate appropriate checks and balances as the scale, funding and res</w:t>
      </w:r>
      <w:r>
        <w:t>ponsibilities of the MNP grow.</w:t>
      </w:r>
    </w:p>
    <w:sectPr w:rsidR="001E162D" w:rsidSect="00034616">
      <w:footerReference w:type="default" r:id="rId8"/>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6F35F" w14:textId="77777777" w:rsidR="00286AE2" w:rsidRDefault="00286AE2">
      <w:pPr>
        <w:spacing w:after="0" w:line="240" w:lineRule="auto"/>
      </w:pPr>
      <w:r>
        <w:separator/>
      </w:r>
    </w:p>
  </w:endnote>
  <w:endnote w:type="continuationSeparator" w:id="0">
    <w:p w14:paraId="34FE6302" w14:textId="77777777" w:rsidR="00286AE2" w:rsidRDefault="00286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959B" w14:textId="77777777" w:rsidR="001E162D" w:rsidRDefault="00286AE2">
    <w:pPr>
      <w:pStyle w:val="Footer"/>
      <w:jc w:val="center"/>
    </w:pPr>
    <w:r>
      <w:rPr>
        <w:sz w:val="16"/>
      </w:rPr>
      <w:t>Provider-neutral paper for local MNP discussion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00E7D" w14:textId="77777777" w:rsidR="00286AE2" w:rsidRDefault="00286AE2">
      <w:pPr>
        <w:spacing w:after="0" w:line="240" w:lineRule="auto"/>
      </w:pPr>
      <w:r>
        <w:separator/>
      </w:r>
    </w:p>
  </w:footnote>
  <w:footnote w:type="continuationSeparator" w:id="0">
    <w:p w14:paraId="216C710D" w14:textId="77777777" w:rsidR="00286AE2" w:rsidRDefault="00286A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6065246">
    <w:abstractNumId w:val="8"/>
  </w:num>
  <w:num w:numId="2" w16cid:durableId="196936445">
    <w:abstractNumId w:val="6"/>
  </w:num>
  <w:num w:numId="3" w16cid:durableId="522061217">
    <w:abstractNumId w:val="5"/>
  </w:num>
  <w:num w:numId="4" w16cid:durableId="75179026">
    <w:abstractNumId w:val="4"/>
  </w:num>
  <w:num w:numId="5" w16cid:durableId="1447963175">
    <w:abstractNumId w:val="7"/>
  </w:num>
  <w:num w:numId="6" w16cid:durableId="1121532060">
    <w:abstractNumId w:val="3"/>
  </w:num>
  <w:num w:numId="7" w16cid:durableId="2048991775">
    <w:abstractNumId w:val="2"/>
  </w:num>
  <w:num w:numId="8" w16cid:durableId="217127240">
    <w:abstractNumId w:val="1"/>
  </w:num>
  <w:num w:numId="9" w16cid:durableId="66150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73E"/>
    <w:rsid w:val="0015074B"/>
    <w:rsid w:val="001E162D"/>
    <w:rsid w:val="00286AE2"/>
    <w:rsid w:val="0029639D"/>
    <w:rsid w:val="00326F90"/>
    <w:rsid w:val="00AA1D8D"/>
    <w:rsid w:val="00B47730"/>
    <w:rsid w:val="00CB0664"/>
    <w:rsid w:val="00E451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19368"/>
  <w14:defaultImageDpi w14:val="300"/>
  <w15:docId w15:val="{245A16A7-1212-46CA-A36F-A0731D5E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2705</Words>
  <Characters>15421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MNP - General Practice Safeguards and Governance Considerations</dc:title>
  <dc:subject>Provider-neutral considerations for ICB and local MNP design</dc:subject>
  <dc:creator>Jorvik Gillygate Practice</dc:creator>
  <cp:keywords>MNP, neighbourhood, general practice, PCN, governance, ICB, safeguards</cp:keywords>
  <dc:description>generated by python-docx</dc:description>
  <cp:lastModifiedBy>STEVENS, Wendy (JORVIK GILLYGATE PRACTICE)</cp:lastModifiedBy>
  <cp:revision>2</cp:revision>
  <dcterms:created xsi:type="dcterms:W3CDTF">2026-08-26T11:14:00Z</dcterms:created>
  <dcterms:modified xsi:type="dcterms:W3CDTF">2026-08-26T11:14:00Z</dcterms:modified>
  <cp:category/>
</cp:coreProperties>
</file>